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proofErr w:type="spellStart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>History</w:t>
      </w:r>
      <w:proofErr w:type="spellEnd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>: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After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America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was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discovered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in 1492,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North American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continent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was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mainly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settled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by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Europeans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from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three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mainstreams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: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Spanish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, French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and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English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immigrants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.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br/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-</w:t>
      </w:r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 xml:space="preserve">Immigration </w:t>
      </w:r>
      <w:proofErr w:type="spellStart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>from</w:t>
      </w:r>
      <w:proofErr w:type="spellEnd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 xml:space="preserve"> 1776 </w:t>
      </w:r>
      <w:proofErr w:type="spellStart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>to</w:t>
      </w:r>
      <w:proofErr w:type="spellEnd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 xml:space="preserve"> 1849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England 59,7%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Northern Island/ Ulster - 10,5%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Germany -  8.9%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Ireland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- 5,8%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Scotland - 5.3%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Wales - 4,3%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Netherlands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- 3,1%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br/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During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first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half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of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19th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century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, 500.000 Germans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migrated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into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US.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1845-1849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millions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of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Irish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immigrated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into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US, due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to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dearth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in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Ireland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.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br/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-</w:t>
      </w:r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 xml:space="preserve">Immigration </w:t>
      </w:r>
      <w:proofErr w:type="spellStart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>from</w:t>
      </w:r>
      <w:proofErr w:type="spellEnd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 xml:space="preserve"> 1820 </w:t>
      </w:r>
      <w:proofErr w:type="spellStart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>to</w:t>
      </w:r>
      <w:proofErr w:type="spellEnd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 xml:space="preserve"> 1924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Since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1820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information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about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immigration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into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US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were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officially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quoted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.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Main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happenings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which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lead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to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immigration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:</w:t>
      </w:r>
    </w:p>
    <w:p w:rsidR="00405DE2" w:rsidRPr="00405DE2" w:rsidRDefault="00405DE2" w:rsidP="00405DE2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1845-1849: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huge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dearth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in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Ireland</w:t>
      </w:r>
      <w:proofErr w:type="spellEnd"/>
    </w:p>
    <w:p w:rsidR="00405DE2" w:rsidRPr="00405DE2" w:rsidRDefault="00405DE2" w:rsidP="00405DE2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1848–1854: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gold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rush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in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California</w:t>
      </w:r>
      <w:proofErr w:type="spellEnd"/>
    </w:p>
    <w:p w:rsidR="00405DE2" w:rsidRPr="00405DE2" w:rsidRDefault="00405DE2" w:rsidP="00405DE2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1861–1865: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 American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civil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war</w:t>
      </w:r>
    </w:p>
    <w:p w:rsidR="00405DE2" w:rsidRPr="00405DE2" w:rsidRDefault="00405DE2" w:rsidP="00405DE2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1880–1910: 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pogroms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against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Jew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 </w:t>
      </w:r>
    </w:p>
    <w:p w:rsidR="00405DE2" w:rsidRPr="00405DE2" w:rsidRDefault="00405DE2" w:rsidP="00405DE2">
      <w:pPr>
        <w:numPr>
          <w:ilvl w:val="0"/>
          <w:numId w:val="1"/>
        </w:numPr>
        <w:spacing w:before="100" w:beforeAutospacing="1" w:after="24" w:line="240" w:lineRule="auto"/>
        <w:ind w:left="384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1914–1918: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first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world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war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br/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-</w:t>
      </w:r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 xml:space="preserve">Immigration </w:t>
      </w:r>
      <w:proofErr w:type="spellStart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>since</w:t>
      </w:r>
      <w:proofErr w:type="spellEnd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 xml:space="preserve"> 1924 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br/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From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1970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to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2000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amount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of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European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immigrants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living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in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US,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shrank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extremely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(in 1970 62%; in 2000 - 15%).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However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number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of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immigrants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grew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: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1951–1960 - 2,5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million</w:t>
      </w:r>
      <w:proofErr w:type="spellEnd"/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1971–1980 - 4,5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million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 </w:t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1990-2000 -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over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10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million</w:t>
      </w:r>
      <w:proofErr w:type="spellEnd"/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br/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 xml:space="preserve">General </w:t>
      </w:r>
      <w:proofErr w:type="spellStart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>information</w:t>
      </w:r>
      <w:proofErr w:type="spellEnd"/>
      <w:r w:rsidRPr="00405DE2">
        <w:rPr>
          <w:rFonts w:eastAsia="Times New Roman"/>
          <w:b/>
          <w:bCs/>
          <w:w w:val="100"/>
          <w:sz w:val="24"/>
          <w:szCs w:val="24"/>
          <w:lang w:val="de-DE" w:eastAsia="de-DE" w:bidi="yi-Hebr"/>
        </w:rPr>
        <w:t>:</w:t>
      </w:r>
    </w:p>
    <w:p w:rsid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Immigration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into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United States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has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a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huge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influence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on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demography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and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culture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of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its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country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.  The United States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host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biggest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amount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of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legal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immigrants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worldwide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. The US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Census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Bureau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 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estimates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country's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population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now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to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be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320,832,000. North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America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is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third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most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populous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nation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in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the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 xml:space="preserve"> </w:t>
      </w:r>
      <w:proofErr w:type="spellStart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world</w:t>
      </w:r>
      <w:proofErr w:type="spellEnd"/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t>. </w:t>
      </w:r>
    </w:p>
    <w:p w:rsid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</w:p>
    <w:p w:rsid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</w:p>
    <w:p w:rsid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</w:p>
    <w:p w:rsid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</w:p>
    <w:p w:rsid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</w:p>
    <w:tbl>
      <w:tblPr>
        <w:tblW w:w="7855" w:type="dxa"/>
        <w:tblCellSpacing w:w="15" w:type="dxa"/>
        <w:tblInd w:w="240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75"/>
      </w:tblGrid>
      <w:tr w:rsidR="00405DE2" w:rsidRPr="00405DE2" w:rsidTr="00405D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DE2" w:rsidRPr="00405DE2" w:rsidRDefault="00405DE2" w:rsidP="00405DE2">
            <w:pPr>
              <w:spacing w:after="0" w:line="240" w:lineRule="auto"/>
              <w:jc w:val="center"/>
              <w:rPr>
                <w:rFonts w:eastAsia="Times New Roman"/>
                <w:b/>
                <w:bCs/>
                <w:w w:val="100"/>
                <w:sz w:val="24"/>
                <w:szCs w:val="24"/>
                <w:lang w:val="de-DE" w:eastAsia="de-DE" w:bidi="yi-Hebr"/>
              </w:rPr>
            </w:pPr>
            <w:r w:rsidRPr="00405DE2">
              <w:rPr>
                <w:rFonts w:eastAsia="Times New Roman"/>
                <w:b/>
                <w:bCs/>
                <w:w w:val="100"/>
                <w:sz w:val="24"/>
                <w:szCs w:val="24"/>
                <w:lang w:val="de-DE" w:eastAsia="de-DE" w:bidi="yi-Hebr"/>
              </w:rPr>
              <w:lastRenderedPageBreak/>
              <w:br/>
            </w:r>
          </w:p>
        </w:tc>
      </w:tr>
      <w:tr w:rsidR="00405DE2" w:rsidRPr="00405DE2" w:rsidTr="00405DE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7855" w:type="dxa"/>
              <w:jc w:val="center"/>
              <w:tblCellSpacing w:w="15" w:type="dxa"/>
              <w:tblInd w:w="240" w:type="dxa"/>
              <w:tblBorders>
                <w:top w:val="single" w:sz="12" w:space="0" w:color="999999"/>
                <w:left w:val="single" w:sz="12" w:space="0" w:color="999999"/>
                <w:bottom w:val="single" w:sz="12" w:space="0" w:color="999999"/>
                <w:right w:val="single" w:sz="12" w:space="0" w:color="999999"/>
              </w:tblBorders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6511"/>
              <w:gridCol w:w="1344"/>
            </w:tblGrid>
            <w:tr w:rsidR="00405DE2" w:rsidRPr="00405DE2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bCs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proofErr w:type="spellStart"/>
                  <w:r w:rsidRPr="00405DE2">
                    <w:rPr>
                      <w:rFonts w:eastAsia="Times New Roman"/>
                      <w:b/>
                      <w:bCs/>
                      <w:w w:val="100"/>
                      <w:sz w:val="24"/>
                      <w:szCs w:val="24"/>
                      <w:lang w:val="de-DE" w:eastAsia="de-DE" w:bidi="yi-Hebr"/>
                    </w:rPr>
                    <w:t>Race</w:t>
                  </w:r>
                  <w:proofErr w:type="spellEnd"/>
                  <w:r w:rsidRPr="00405DE2">
                    <w:rPr>
                      <w:rFonts w:eastAsia="Times New Roman"/>
                      <w:b/>
                      <w:bCs/>
                      <w:w w:val="100"/>
                      <w:sz w:val="24"/>
                      <w:szCs w:val="24"/>
                      <w:lang w:val="de-DE" w:eastAsia="de-DE" w:bidi="yi-Hebr"/>
                    </w:rPr>
                    <w:t>/</w:t>
                  </w:r>
                  <w:proofErr w:type="spellStart"/>
                  <w:r w:rsidRPr="00405DE2">
                    <w:rPr>
                      <w:rFonts w:eastAsia="Times New Roman"/>
                      <w:b/>
                      <w:bCs/>
                      <w:w w:val="100"/>
                      <w:sz w:val="24"/>
                      <w:szCs w:val="24"/>
                      <w:lang w:val="de-DE" w:eastAsia="de-DE" w:bidi="yi-Hebr"/>
                    </w:rPr>
                    <w:t>Ethnicity</w:t>
                  </w:r>
                  <w:proofErr w:type="spellEnd"/>
                  <w:r w:rsidRPr="00405DE2">
                    <w:rPr>
                      <w:rFonts w:eastAsia="Times New Roman"/>
                      <w:b/>
                      <w:bCs/>
                      <w:w w:val="100"/>
                      <w:sz w:val="24"/>
                      <w:szCs w:val="24"/>
                      <w:lang w:val="de-DE" w:eastAsia="de-DE" w:bidi="yi-Hebr"/>
                    </w:rPr>
                    <w:t> </w:t>
                  </w:r>
                  <w:r w:rsidRPr="00405DE2">
                    <w:rPr>
                      <w:rFonts w:eastAsia="Times New Roman"/>
                      <w:b/>
                      <w:bCs/>
                      <w:w w:val="100"/>
                      <w:sz w:val="20"/>
                      <w:szCs w:val="20"/>
                      <w:lang w:val="de-DE" w:eastAsia="de-DE" w:bidi="yi-Hebr"/>
                    </w:rPr>
                    <w:t>(2013)</w:t>
                  </w:r>
                </w:p>
              </w:tc>
            </w:tr>
            <w:tr w:rsidR="00405DE2" w:rsidRPr="00405DE2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</w:p>
              </w:tc>
            </w:tr>
            <w:tr w:rsidR="00405DE2" w:rsidRPr="00405DE2">
              <w:trPr>
                <w:gridAfter w:val="1"/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bCs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proofErr w:type="spellStart"/>
                  <w:r w:rsidRPr="00405DE2">
                    <w:rPr>
                      <w:rFonts w:eastAsia="Times New Roman"/>
                      <w:b/>
                      <w:bCs/>
                      <w:w w:val="100"/>
                      <w:sz w:val="20"/>
                      <w:szCs w:val="20"/>
                      <w:lang w:val="de-DE" w:eastAsia="de-DE" w:bidi="yi-Hebr"/>
                    </w:rPr>
                    <w:t>By</w:t>
                  </w:r>
                  <w:proofErr w:type="spellEnd"/>
                  <w:r w:rsidRPr="00405DE2">
                    <w:rPr>
                      <w:rFonts w:eastAsia="Times New Roman"/>
                      <w:b/>
                      <w:bCs/>
                      <w:w w:val="100"/>
                      <w:sz w:val="20"/>
                      <w:szCs w:val="20"/>
                      <w:lang w:val="de-DE" w:eastAsia="de-DE" w:bidi="yi-Hebr"/>
                    </w:rPr>
                    <w:t xml:space="preserve"> </w:t>
                  </w:r>
                  <w:proofErr w:type="spellStart"/>
                  <w:r w:rsidRPr="00405DE2">
                    <w:rPr>
                      <w:rFonts w:eastAsia="Times New Roman"/>
                      <w:b/>
                      <w:bCs/>
                      <w:w w:val="100"/>
                      <w:sz w:val="20"/>
                      <w:szCs w:val="20"/>
                      <w:lang w:val="de-DE" w:eastAsia="de-DE" w:bidi="yi-Hebr"/>
                    </w:rPr>
                    <w:t>race</w:t>
                  </w:r>
                  <w:proofErr w:type="spellEnd"/>
                  <w:r w:rsidRPr="00405DE2">
                    <w:rPr>
                      <w:rFonts w:eastAsia="Times New Roman"/>
                      <w:b/>
                      <w:bCs/>
                      <w:w w:val="100"/>
                      <w:sz w:val="20"/>
                      <w:szCs w:val="20"/>
                      <w:lang w:val="de-DE" w:eastAsia="de-DE" w:bidi="yi-Hebr"/>
                    </w:rPr>
                    <w:t>:</w:t>
                  </w:r>
                </w:p>
              </w:tc>
            </w:tr>
            <w:tr w:rsidR="00405DE2" w:rsidRPr="00405D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White</w:t>
                  </w:r>
                </w:p>
              </w:tc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77.7%</w:t>
                  </w:r>
                </w:p>
              </w:tc>
            </w:tr>
            <w:tr w:rsidR="00405DE2" w:rsidRPr="00405D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African American</w:t>
                  </w:r>
                </w:p>
              </w:tc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13.2%</w:t>
                  </w:r>
                </w:p>
              </w:tc>
            </w:tr>
            <w:tr w:rsidR="00405DE2" w:rsidRPr="00405D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hyperlink r:id="rId5" w:tooltip="Asian American" w:history="1">
                    <w:r w:rsidRPr="00405DE2">
                      <w:rPr>
                        <w:rFonts w:eastAsia="Times New Roman"/>
                        <w:color w:val="0000FF"/>
                        <w:w w:val="100"/>
                        <w:sz w:val="24"/>
                        <w:szCs w:val="24"/>
                        <w:lang w:val="de-DE" w:eastAsia="de-DE" w:bidi="yi-Hebr"/>
                      </w:rPr>
                      <w:t>A</w:t>
                    </w:r>
                  </w:hyperlink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sian</w:t>
                  </w:r>
                </w:p>
              </w:tc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5.3%</w:t>
                  </w:r>
                </w:p>
              </w:tc>
            </w:tr>
            <w:tr w:rsidR="00405DE2" w:rsidRPr="00405D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 xml:space="preserve">American Indian </w:t>
                  </w:r>
                  <w:proofErr w:type="spellStart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and</w:t>
                  </w:r>
                  <w:proofErr w:type="spellEnd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 xml:space="preserve"> Alaska Native</w:t>
                  </w:r>
                </w:p>
              </w:tc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1.2%</w:t>
                  </w:r>
                </w:p>
              </w:tc>
            </w:tr>
            <w:tr w:rsidR="00405DE2" w:rsidRPr="00405D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 xml:space="preserve">Native </w:t>
                  </w:r>
                  <w:proofErr w:type="spellStart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Hawaiian</w:t>
                  </w:r>
                  <w:proofErr w:type="spellEnd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 xml:space="preserve"> </w:t>
                  </w:r>
                  <w:proofErr w:type="spellStart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and</w:t>
                  </w:r>
                  <w:proofErr w:type="spellEnd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 xml:space="preserve"> Pacific </w:t>
                  </w:r>
                  <w:proofErr w:type="spellStart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Islander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0.2%</w:t>
                  </w:r>
                </w:p>
              </w:tc>
            </w:tr>
            <w:tr w:rsidR="00405DE2" w:rsidRPr="00405D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proofErr w:type="spellStart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multiracial</w:t>
                  </w:r>
                  <w:proofErr w:type="spellEnd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 xml:space="preserve"> (2 </w:t>
                  </w:r>
                  <w:proofErr w:type="spellStart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or</w:t>
                  </w:r>
                  <w:proofErr w:type="spellEnd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 xml:space="preserve"> </w:t>
                  </w:r>
                  <w:proofErr w:type="spellStart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more</w:t>
                  </w:r>
                  <w:proofErr w:type="spellEnd"/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  <w:r w:rsidRPr="00405DE2">
                    <w:rPr>
                      <w:rFonts w:eastAsia="Times New Roman"/>
                      <w:w w:val="100"/>
                      <w:sz w:val="24"/>
                      <w:szCs w:val="24"/>
                      <w:lang w:val="de-DE" w:eastAsia="de-DE" w:bidi="yi-Hebr"/>
                    </w:rPr>
                    <w:t>2.4%</w:t>
                  </w:r>
                </w:p>
              </w:tc>
            </w:tr>
            <w:tr w:rsidR="00405DE2" w:rsidRPr="00405DE2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405DE2" w:rsidRPr="00405DE2" w:rsidRDefault="00405DE2" w:rsidP="00405DE2">
                  <w:pPr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bCs/>
                      <w:w w:val="100"/>
                      <w:sz w:val="24"/>
                      <w:szCs w:val="24"/>
                      <w:lang w:val="de-DE" w:eastAsia="de-DE" w:bidi="yi-He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05DE2" w:rsidRPr="00405DE2" w:rsidRDefault="00405DE2" w:rsidP="00405DE2">
                  <w:pPr>
                    <w:spacing w:after="0" w:line="240" w:lineRule="auto"/>
                    <w:rPr>
                      <w:rFonts w:eastAsia="Times New Roman"/>
                      <w:w w:val="100"/>
                      <w:sz w:val="20"/>
                      <w:szCs w:val="20"/>
                      <w:lang w:val="de-DE" w:eastAsia="de-DE" w:bidi="yi-Hebr"/>
                    </w:rPr>
                  </w:pPr>
                </w:p>
              </w:tc>
            </w:tr>
          </w:tbl>
          <w:p w:rsidR="00405DE2" w:rsidRPr="00405DE2" w:rsidRDefault="00405DE2" w:rsidP="00405DE2">
            <w:pPr>
              <w:spacing w:after="0" w:line="240" w:lineRule="auto"/>
              <w:jc w:val="center"/>
              <w:rPr>
                <w:rFonts w:eastAsia="Times New Roman"/>
                <w:w w:val="100"/>
                <w:sz w:val="24"/>
                <w:szCs w:val="24"/>
                <w:lang w:val="de-DE" w:eastAsia="de-DE" w:bidi="yi-Hebr"/>
              </w:rPr>
            </w:pPr>
          </w:p>
        </w:tc>
      </w:tr>
      <w:tr w:rsidR="00405DE2" w:rsidRPr="00405DE2" w:rsidTr="00405DE2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5DE2" w:rsidRPr="00405DE2" w:rsidRDefault="00405DE2" w:rsidP="00405DE2">
            <w:pPr>
              <w:spacing w:after="0" w:line="240" w:lineRule="auto"/>
              <w:jc w:val="center"/>
              <w:rPr>
                <w:rFonts w:eastAsia="Times New Roman"/>
                <w:b/>
                <w:bCs/>
                <w:w w:val="100"/>
                <w:sz w:val="24"/>
                <w:szCs w:val="24"/>
                <w:lang w:val="de-DE" w:eastAsia="de-DE" w:bidi="yi-Hebr"/>
              </w:rPr>
            </w:pPr>
          </w:p>
        </w:tc>
      </w:tr>
    </w:tbl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br/>
      </w:r>
    </w:p>
    <w:p w:rsidR="00405DE2" w:rsidRPr="00405DE2" w:rsidRDefault="00405DE2" w:rsidP="00405DE2">
      <w:pPr>
        <w:spacing w:after="0" w:line="240" w:lineRule="auto"/>
        <w:rPr>
          <w:rFonts w:eastAsia="Times New Roman"/>
          <w:w w:val="100"/>
          <w:sz w:val="24"/>
          <w:szCs w:val="24"/>
          <w:lang w:val="de-DE" w:eastAsia="de-DE" w:bidi="yi-Hebr"/>
        </w:rPr>
      </w:pPr>
      <w:r w:rsidRPr="00405DE2">
        <w:rPr>
          <w:rFonts w:eastAsia="Times New Roman"/>
          <w:w w:val="100"/>
          <w:sz w:val="24"/>
          <w:szCs w:val="24"/>
          <w:lang w:val="de-DE" w:eastAsia="de-DE" w:bidi="yi-Hebr"/>
        </w:rPr>
        <w:br/>
      </w:r>
    </w:p>
    <w:p w:rsidR="005969E7" w:rsidRDefault="005969E7"/>
    <w:sectPr w:rsidR="005969E7" w:rsidSect="00DC469E">
      <w:pgSz w:w="11906" w:h="16838"/>
      <w:pgMar w:top="851" w:right="1134" w:bottom="851" w:left="1134" w:header="709" w:footer="709" w:gutter="0"/>
      <w:cols w:space="708"/>
      <w:docGrid w:linePitch="38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A52BC"/>
    <w:multiLevelType w:val="multilevel"/>
    <w:tmpl w:val="75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85"/>
  <w:drawingGridVerticalSpacing w:val="194"/>
  <w:displayVerticalDrawingGridEvery w:val="2"/>
  <w:characterSpacingControl w:val="doNotCompress"/>
  <w:compat/>
  <w:rsids>
    <w:rsidRoot w:val="00405DE2"/>
    <w:rsid w:val="001A668A"/>
    <w:rsid w:val="00213EB6"/>
    <w:rsid w:val="002B14B5"/>
    <w:rsid w:val="003644FF"/>
    <w:rsid w:val="00397B7A"/>
    <w:rsid w:val="003E4CBB"/>
    <w:rsid w:val="00405DE2"/>
    <w:rsid w:val="004D31F9"/>
    <w:rsid w:val="005956F7"/>
    <w:rsid w:val="005969E7"/>
    <w:rsid w:val="007529E7"/>
    <w:rsid w:val="00830F01"/>
    <w:rsid w:val="0086171F"/>
    <w:rsid w:val="00913116"/>
    <w:rsid w:val="009C3B63"/>
    <w:rsid w:val="00B229C0"/>
    <w:rsid w:val="00C34802"/>
    <w:rsid w:val="00C44A43"/>
    <w:rsid w:val="00DA5065"/>
    <w:rsid w:val="00DC469E"/>
    <w:rsid w:val="00DE0FF3"/>
    <w:rsid w:val="00EA637C"/>
    <w:rsid w:val="00EC01B7"/>
    <w:rsid w:val="00EC19D4"/>
    <w:rsid w:val="00F71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30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969E7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405D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0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9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66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2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7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6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1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7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62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0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28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4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9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7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66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49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n.wikipedia.org/wiki/Asian_America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Beate Selbiger</dc:creator>
  <cp:keywords/>
  <dc:description/>
  <cp:lastModifiedBy>Beate Selbiger</cp:lastModifiedBy>
  <cp:revision>2</cp:revision>
  <dcterms:created xsi:type="dcterms:W3CDTF">2015-04-21T19:16:00Z</dcterms:created>
  <dcterms:modified xsi:type="dcterms:W3CDTF">2015-04-21T19:17:00Z</dcterms:modified>
</cp:coreProperties>
</file>